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52A17" w14:textId="77777777" w:rsidR="00262FC2" w:rsidRPr="007B5E7C" w:rsidRDefault="00262FC2" w:rsidP="00262FC2">
      <w:pPr>
        <w:rPr>
          <w:rFonts w:ascii="ＭＳ 明朝" w:hAnsi="ＭＳ 明朝"/>
          <w:b/>
          <w:color w:val="000000" w:themeColor="text1"/>
          <w:sz w:val="24"/>
          <w:szCs w:val="24"/>
        </w:rPr>
      </w:pPr>
      <w:bookmarkStart w:id="0" w:name="RANGE!A1:C15"/>
      <w:r w:rsidRPr="007B5E7C">
        <w:rPr>
          <w:rFonts w:ascii="ＭＳ 明朝" w:hAnsi="ＭＳ 明朝" w:hint="eastAsia"/>
          <w:b/>
          <w:color w:val="000000" w:themeColor="text1"/>
          <w:sz w:val="24"/>
          <w:szCs w:val="24"/>
        </w:rPr>
        <w:t>第１号様式（第２条関係）</w:t>
      </w:r>
      <w:bookmarkEnd w:id="0"/>
    </w:p>
    <w:p w14:paraId="29ACAD11" w14:textId="77777777" w:rsidR="00262FC2" w:rsidRPr="007B5E7C" w:rsidRDefault="00262FC2" w:rsidP="00262FC2">
      <w:pPr>
        <w:jc w:val="center"/>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サービス付き高齢者向け住宅の入居契約の</w:t>
      </w:r>
    </w:p>
    <w:p w14:paraId="6078308D" w14:textId="77777777" w:rsidR="00262FC2" w:rsidRPr="007B5E7C" w:rsidRDefault="00262FC2" w:rsidP="00262FC2">
      <w:pPr>
        <w:jc w:val="center"/>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登録基準適合性に関するチェックリスト</w:t>
      </w:r>
    </w:p>
    <w:tbl>
      <w:tblPr>
        <w:tblStyle w:val="a8"/>
        <w:tblW w:w="0" w:type="auto"/>
        <w:tblLook w:val="04A0" w:firstRow="1" w:lastRow="0" w:firstColumn="1" w:lastColumn="0" w:noHBand="0" w:noVBand="1"/>
      </w:tblPr>
      <w:tblGrid>
        <w:gridCol w:w="6213"/>
        <w:gridCol w:w="1862"/>
        <w:gridCol w:w="1779"/>
      </w:tblGrid>
      <w:tr w:rsidR="00262FC2" w:rsidRPr="007B5E7C" w14:paraId="0717FEC0" w14:textId="77777777" w:rsidTr="00DA4B4C">
        <w:trPr>
          <w:trHeight w:val="390"/>
        </w:trPr>
        <w:tc>
          <w:tcPr>
            <w:tcW w:w="6213" w:type="dxa"/>
            <w:noWrap/>
            <w:hideMark/>
          </w:tcPr>
          <w:p w14:paraId="7DEB8715" w14:textId="77777777" w:rsidR="00262FC2" w:rsidRPr="007B5E7C" w:rsidRDefault="00262FC2" w:rsidP="00DA4B4C">
            <w:pPr>
              <w:jc w:val="center"/>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チェック内容</w:t>
            </w:r>
          </w:p>
        </w:tc>
        <w:tc>
          <w:tcPr>
            <w:tcW w:w="1862" w:type="dxa"/>
            <w:noWrap/>
            <w:hideMark/>
          </w:tcPr>
          <w:p w14:paraId="4FAA261E" w14:textId="77777777" w:rsidR="00262FC2" w:rsidRPr="007B5E7C" w:rsidRDefault="00262FC2" w:rsidP="00DA4B4C">
            <w:pPr>
              <w:jc w:val="center"/>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根拠規定</w:t>
            </w:r>
          </w:p>
        </w:tc>
        <w:tc>
          <w:tcPr>
            <w:tcW w:w="1779" w:type="dxa"/>
            <w:noWrap/>
            <w:hideMark/>
          </w:tcPr>
          <w:p w14:paraId="4D851F8B" w14:textId="77777777" w:rsidR="00262FC2" w:rsidRPr="007B5E7C" w:rsidRDefault="00262FC2" w:rsidP="00DA4B4C">
            <w:pPr>
              <w:jc w:val="center"/>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チェック欄</w:t>
            </w:r>
          </w:p>
        </w:tc>
      </w:tr>
      <w:tr w:rsidR="00262FC2" w:rsidRPr="007B5E7C" w14:paraId="15308709" w14:textId="77777777" w:rsidTr="00DA4B4C">
        <w:trPr>
          <w:trHeight w:val="1898"/>
        </w:trPr>
        <w:tc>
          <w:tcPr>
            <w:tcW w:w="6213" w:type="dxa"/>
            <w:hideMark/>
          </w:tcPr>
          <w:p w14:paraId="3E94CAC4" w14:textId="77777777" w:rsidR="00262FC2" w:rsidRPr="007B5E7C" w:rsidRDefault="00262FC2" w:rsidP="00DA4B4C">
            <w:pPr>
              <w:ind w:left="303" w:hangingChars="100" w:hanging="303"/>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⑴　書面（その作成に代えて電磁的記録（電子的方式、磁気的方式その他人の知覚によっては認識することができない方式で作られる記録であって、電子計算機による情報処理の用に供されるものをいう。法第５２条第２項及び第５４条第１号において同じ。）を作成する場合における当該電磁的記録を含む。）によるものであること</w:t>
            </w:r>
          </w:p>
        </w:tc>
        <w:tc>
          <w:tcPr>
            <w:tcW w:w="1862" w:type="dxa"/>
            <w:hideMark/>
          </w:tcPr>
          <w:p w14:paraId="6D3391D3" w14:textId="77777777" w:rsidR="00262FC2" w:rsidRPr="007B5E7C" w:rsidRDefault="00262FC2" w:rsidP="00DA4B4C">
            <w:pPr>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法第７条第１項第６号イ</w:t>
            </w:r>
          </w:p>
        </w:tc>
        <w:tc>
          <w:tcPr>
            <w:tcW w:w="1779" w:type="dxa"/>
            <w:noWrap/>
            <w:hideMark/>
          </w:tcPr>
          <w:p w14:paraId="6E6E3693" w14:textId="77777777" w:rsidR="00262FC2" w:rsidRPr="007B5E7C" w:rsidRDefault="00262FC2" w:rsidP="00DA4B4C">
            <w:pPr>
              <w:ind w:firstLineChars="100" w:firstLine="303"/>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 xml:space="preserve">　</w:t>
            </w:r>
          </w:p>
        </w:tc>
      </w:tr>
      <w:tr w:rsidR="00262FC2" w:rsidRPr="007B5E7C" w14:paraId="7B8207E5" w14:textId="77777777" w:rsidTr="00DA4B4C">
        <w:trPr>
          <w:trHeight w:val="998"/>
        </w:trPr>
        <w:tc>
          <w:tcPr>
            <w:tcW w:w="6213" w:type="dxa"/>
            <w:hideMark/>
          </w:tcPr>
          <w:p w14:paraId="01B931D3" w14:textId="77777777" w:rsidR="00262FC2" w:rsidRPr="007B5E7C" w:rsidRDefault="00262FC2" w:rsidP="00DA4B4C">
            <w:pPr>
              <w:ind w:left="303" w:hangingChars="100" w:hanging="303"/>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⑵　居住の用に供する専用部分が明示されていること</w:t>
            </w:r>
            <w:r w:rsidRPr="007B5E7C">
              <w:rPr>
                <w:rFonts w:ascii="ＭＳ 明朝" w:hAnsi="ＭＳ 明朝" w:hint="eastAsia"/>
                <w:b/>
                <w:color w:val="000000" w:themeColor="text1"/>
                <w:sz w:val="24"/>
                <w:szCs w:val="24"/>
              </w:rPr>
              <w:br/>
              <w:t>（※単に建物全体を示すのではなく、具体の部屋番号が記載されているなど特定されていること）</w:t>
            </w:r>
          </w:p>
        </w:tc>
        <w:tc>
          <w:tcPr>
            <w:tcW w:w="1862" w:type="dxa"/>
            <w:hideMark/>
          </w:tcPr>
          <w:p w14:paraId="38B91F0E" w14:textId="77777777" w:rsidR="00262FC2" w:rsidRPr="007B5E7C" w:rsidRDefault="00262FC2" w:rsidP="00DA4B4C">
            <w:pPr>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法第７条第１項第６号ロ</w:t>
            </w:r>
          </w:p>
        </w:tc>
        <w:tc>
          <w:tcPr>
            <w:tcW w:w="1779" w:type="dxa"/>
            <w:noWrap/>
            <w:hideMark/>
          </w:tcPr>
          <w:p w14:paraId="30E926CB" w14:textId="77777777" w:rsidR="00262FC2" w:rsidRPr="007B5E7C" w:rsidRDefault="00262FC2" w:rsidP="00DA4B4C">
            <w:pPr>
              <w:ind w:firstLineChars="100" w:firstLine="303"/>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 xml:space="preserve">　</w:t>
            </w:r>
          </w:p>
        </w:tc>
      </w:tr>
      <w:tr w:rsidR="00262FC2" w:rsidRPr="007B5E7C" w14:paraId="6BB13C60" w14:textId="77777777" w:rsidTr="00DA4B4C">
        <w:trPr>
          <w:trHeight w:val="1302"/>
        </w:trPr>
        <w:tc>
          <w:tcPr>
            <w:tcW w:w="6213" w:type="dxa"/>
            <w:hideMark/>
          </w:tcPr>
          <w:p w14:paraId="4675C757" w14:textId="77777777" w:rsidR="00262FC2" w:rsidRPr="007B5E7C" w:rsidRDefault="00262FC2" w:rsidP="00DA4B4C">
            <w:pPr>
              <w:ind w:left="303" w:hangingChars="100" w:hanging="303"/>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⑶　①敷金、②家賃、③高齢者生活支援サービスの提供の対価、④家賃等（②及び③）の前払金以外の金銭（権利金等）を受領しないこと</w:t>
            </w:r>
            <w:r w:rsidRPr="007B5E7C">
              <w:rPr>
                <w:rFonts w:ascii="ＭＳ 明朝" w:hAnsi="ＭＳ 明朝" w:hint="eastAsia"/>
                <w:b/>
                <w:color w:val="000000" w:themeColor="text1"/>
                <w:sz w:val="24"/>
                <w:szCs w:val="24"/>
              </w:rPr>
              <w:br/>
              <w:t>（※①～④が明確に分けられていること）</w:t>
            </w:r>
          </w:p>
        </w:tc>
        <w:tc>
          <w:tcPr>
            <w:tcW w:w="1862" w:type="dxa"/>
            <w:hideMark/>
          </w:tcPr>
          <w:p w14:paraId="2F6D24DB" w14:textId="77777777" w:rsidR="00262FC2" w:rsidRPr="007B5E7C" w:rsidRDefault="00262FC2" w:rsidP="00DA4B4C">
            <w:pPr>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法第７条第１項第６号ハ</w:t>
            </w:r>
          </w:p>
        </w:tc>
        <w:tc>
          <w:tcPr>
            <w:tcW w:w="1779" w:type="dxa"/>
            <w:noWrap/>
            <w:hideMark/>
          </w:tcPr>
          <w:p w14:paraId="092BADA5" w14:textId="77777777" w:rsidR="00262FC2" w:rsidRPr="007B5E7C" w:rsidRDefault="00262FC2" w:rsidP="00DA4B4C">
            <w:pPr>
              <w:ind w:firstLineChars="100" w:firstLine="303"/>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 xml:space="preserve">　</w:t>
            </w:r>
          </w:p>
        </w:tc>
      </w:tr>
      <w:tr w:rsidR="00262FC2" w:rsidRPr="007B5E7C" w14:paraId="72131D9B" w14:textId="77777777" w:rsidTr="00DA4B4C">
        <w:trPr>
          <w:trHeight w:val="998"/>
        </w:trPr>
        <w:tc>
          <w:tcPr>
            <w:tcW w:w="6213" w:type="dxa"/>
            <w:hideMark/>
          </w:tcPr>
          <w:p w14:paraId="096619E0" w14:textId="77777777" w:rsidR="00262FC2" w:rsidRPr="007B5E7C" w:rsidRDefault="00262FC2" w:rsidP="00DA4B4C">
            <w:pPr>
              <w:ind w:left="303" w:hangingChars="100" w:hanging="303"/>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⑷　家賃等の前払金を受領する場合には、その算定の基礎が明示されていること</w:t>
            </w:r>
          </w:p>
        </w:tc>
        <w:tc>
          <w:tcPr>
            <w:tcW w:w="1862" w:type="dxa"/>
            <w:hideMark/>
          </w:tcPr>
          <w:p w14:paraId="2CFB688A" w14:textId="77777777" w:rsidR="00262FC2" w:rsidRPr="007B5E7C" w:rsidRDefault="00262FC2" w:rsidP="00DA4B4C">
            <w:pPr>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法第７条第１項第６号ニ</w:t>
            </w:r>
          </w:p>
        </w:tc>
        <w:tc>
          <w:tcPr>
            <w:tcW w:w="1779" w:type="dxa"/>
            <w:noWrap/>
            <w:hideMark/>
          </w:tcPr>
          <w:p w14:paraId="43E63885" w14:textId="77777777" w:rsidR="00262FC2" w:rsidRPr="007B5E7C" w:rsidRDefault="00262FC2" w:rsidP="00DA4B4C">
            <w:pPr>
              <w:ind w:firstLineChars="100" w:firstLine="303"/>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 xml:space="preserve">　</w:t>
            </w:r>
          </w:p>
        </w:tc>
      </w:tr>
      <w:tr w:rsidR="00262FC2" w:rsidRPr="007B5E7C" w14:paraId="6B850CCE" w14:textId="77777777" w:rsidTr="00DA4B4C">
        <w:trPr>
          <w:trHeight w:val="998"/>
        </w:trPr>
        <w:tc>
          <w:tcPr>
            <w:tcW w:w="6213" w:type="dxa"/>
            <w:hideMark/>
          </w:tcPr>
          <w:p w14:paraId="6263B499" w14:textId="77777777" w:rsidR="00262FC2" w:rsidRPr="007B5E7C" w:rsidRDefault="00262FC2" w:rsidP="00DA4B4C">
            <w:pPr>
              <w:ind w:left="303" w:hangingChars="100" w:hanging="303"/>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⑸　家賃等の前払金を受領する場合には、家賃等の前払金について事業者が返還債務を負うこととなる場合における当該返還債務の金額の算定方法が明示されていること</w:t>
            </w:r>
          </w:p>
        </w:tc>
        <w:tc>
          <w:tcPr>
            <w:tcW w:w="1862" w:type="dxa"/>
            <w:hideMark/>
          </w:tcPr>
          <w:p w14:paraId="26144400" w14:textId="77777777" w:rsidR="00262FC2" w:rsidRPr="007B5E7C" w:rsidRDefault="00262FC2" w:rsidP="00DA4B4C">
            <w:pPr>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・法第７条第１項第６号ニ</w:t>
            </w:r>
          </w:p>
        </w:tc>
        <w:tc>
          <w:tcPr>
            <w:tcW w:w="1779" w:type="dxa"/>
            <w:noWrap/>
            <w:hideMark/>
          </w:tcPr>
          <w:p w14:paraId="7281757C" w14:textId="77777777" w:rsidR="00262FC2" w:rsidRPr="007B5E7C" w:rsidRDefault="00262FC2" w:rsidP="00DA4B4C">
            <w:pPr>
              <w:ind w:firstLineChars="100" w:firstLine="303"/>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 xml:space="preserve">　</w:t>
            </w:r>
          </w:p>
        </w:tc>
      </w:tr>
      <w:tr w:rsidR="00262FC2" w:rsidRPr="007B5E7C" w14:paraId="0A57F28D" w14:textId="77777777" w:rsidTr="00DA4B4C">
        <w:trPr>
          <w:trHeight w:val="3315"/>
        </w:trPr>
        <w:tc>
          <w:tcPr>
            <w:tcW w:w="6213" w:type="dxa"/>
            <w:hideMark/>
          </w:tcPr>
          <w:p w14:paraId="6A49374A" w14:textId="77777777" w:rsidR="00262FC2" w:rsidRPr="007B5E7C" w:rsidRDefault="00262FC2" w:rsidP="00DA4B4C">
            <w:pPr>
              <w:ind w:left="303" w:hangingChars="100" w:hanging="303"/>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lastRenderedPageBreak/>
              <w:t>⑹　入居者の入居後、３月が経過するまでの間に契約が解除され、又は入居者の死亡により終了した場合には、家賃等の月額を３０で除した額に、入居の日から起算して契約が解除され、又は入居者の死亡により終了した日までの日数を乗じた額を除き、家賃等の前払金を返還すること。</w:t>
            </w:r>
            <w:r w:rsidRPr="007B5E7C">
              <w:rPr>
                <w:rFonts w:ascii="ＭＳ 明朝" w:hAnsi="ＭＳ 明朝" w:hint="eastAsia"/>
                <w:b/>
                <w:color w:val="000000" w:themeColor="text1"/>
                <w:sz w:val="24"/>
                <w:szCs w:val="24"/>
              </w:rPr>
              <w:br/>
              <w:t xml:space="preserve">　入居者の入居後、３月が経過し、想定居住期間が経過するまでの間に契約が解除され、又は入居者の死亡により終了した場合には、契約が解除され、又は入居者の死亡により終了した日以降の期間につき日割計算により算出した家賃等の額を、家賃等の前払金の額から控除した額を除き、家賃等の前払金を返還すること。</w:t>
            </w:r>
          </w:p>
        </w:tc>
        <w:tc>
          <w:tcPr>
            <w:tcW w:w="1862" w:type="dxa"/>
            <w:hideMark/>
          </w:tcPr>
          <w:p w14:paraId="15DB06D9" w14:textId="77777777" w:rsidR="00262FC2" w:rsidRPr="007B5E7C" w:rsidRDefault="00262FC2" w:rsidP="00DA4B4C">
            <w:pPr>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・法第７条第１項第６号ホ</w:t>
            </w:r>
            <w:r w:rsidRPr="007B5E7C">
              <w:rPr>
                <w:rFonts w:ascii="ＭＳ 明朝" w:hAnsi="ＭＳ 明朝" w:hint="eastAsia"/>
                <w:b/>
                <w:color w:val="000000" w:themeColor="text1"/>
                <w:sz w:val="24"/>
                <w:szCs w:val="24"/>
              </w:rPr>
              <w:br/>
              <w:t>・規則第12条</w:t>
            </w:r>
          </w:p>
        </w:tc>
        <w:tc>
          <w:tcPr>
            <w:tcW w:w="1779" w:type="dxa"/>
            <w:noWrap/>
            <w:hideMark/>
          </w:tcPr>
          <w:p w14:paraId="0EA27B11" w14:textId="77777777" w:rsidR="00262FC2" w:rsidRPr="007B5E7C" w:rsidRDefault="00262FC2" w:rsidP="00DA4B4C">
            <w:pPr>
              <w:ind w:firstLineChars="100" w:firstLine="303"/>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 xml:space="preserve">　</w:t>
            </w:r>
          </w:p>
        </w:tc>
      </w:tr>
      <w:tr w:rsidR="00262FC2" w:rsidRPr="007B5E7C" w14:paraId="1C31F519" w14:textId="77777777" w:rsidTr="00DA4B4C">
        <w:trPr>
          <w:trHeight w:val="998"/>
        </w:trPr>
        <w:tc>
          <w:tcPr>
            <w:tcW w:w="6213" w:type="dxa"/>
            <w:hideMark/>
          </w:tcPr>
          <w:p w14:paraId="6B00C79D" w14:textId="77777777" w:rsidR="00262FC2" w:rsidRPr="007B5E7C" w:rsidRDefault="00262FC2" w:rsidP="00DA4B4C">
            <w:pPr>
              <w:ind w:left="303" w:hangingChars="100" w:hanging="303"/>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⑺　入居者の病院への入院又は入居者の心身の状況の変化を理由として、当該理由が生じた後の入居者の合意が無く、一方的に居住部分を変更し、又は契約を解約することができないこと</w:t>
            </w:r>
          </w:p>
        </w:tc>
        <w:tc>
          <w:tcPr>
            <w:tcW w:w="1862" w:type="dxa"/>
            <w:hideMark/>
          </w:tcPr>
          <w:p w14:paraId="17F6BB50" w14:textId="77777777" w:rsidR="00262FC2" w:rsidRPr="007B5E7C" w:rsidRDefault="00262FC2" w:rsidP="00DA4B4C">
            <w:pPr>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・法第７条第１項第６号ヘ</w:t>
            </w:r>
            <w:r w:rsidRPr="007B5E7C">
              <w:rPr>
                <w:rFonts w:ascii="ＭＳ 明朝" w:hAnsi="ＭＳ 明朝" w:hint="eastAsia"/>
                <w:b/>
                <w:color w:val="000000" w:themeColor="text1"/>
                <w:sz w:val="24"/>
                <w:szCs w:val="24"/>
              </w:rPr>
              <w:br/>
              <w:t>・規則第13条</w:t>
            </w:r>
          </w:p>
        </w:tc>
        <w:tc>
          <w:tcPr>
            <w:tcW w:w="1779" w:type="dxa"/>
            <w:noWrap/>
            <w:hideMark/>
          </w:tcPr>
          <w:p w14:paraId="6F7CA77A" w14:textId="77777777" w:rsidR="00262FC2" w:rsidRPr="007B5E7C" w:rsidRDefault="00262FC2" w:rsidP="00DA4B4C">
            <w:pPr>
              <w:ind w:firstLineChars="100" w:firstLine="303"/>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 xml:space="preserve">　</w:t>
            </w:r>
          </w:p>
        </w:tc>
      </w:tr>
      <w:tr w:rsidR="00262FC2" w:rsidRPr="007B5E7C" w14:paraId="0D08B3D9" w14:textId="77777777" w:rsidTr="00DA4B4C">
        <w:trPr>
          <w:trHeight w:val="998"/>
        </w:trPr>
        <w:tc>
          <w:tcPr>
            <w:tcW w:w="6213" w:type="dxa"/>
            <w:hideMark/>
          </w:tcPr>
          <w:p w14:paraId="43948AA3" w14:textId="77777777" w:rsidR="00262FC2" w:rsidRPr="007B5E7C" w:rsidRDefault="00262FC2" w:rsidP="00DA4B4C">
            <w:pPr>
              <w:ind w:left="303" w:hangingChars="100" w:hanging="303"/>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⑻　住宅の整備に関する工事の完了前に敷金又は家賃等の前払金を受領しないこと</w:t>
            </w:r>
          </w:p>
        </w:tc>
        <w:tc>
          <w:tcPr>
            <w:tcW w:w="1862" w:type="dxa"/>
            <w:hideMark/>
          </w:tcPr>
          <w:p w14:paraId="34975ECA" w14:textId="77777777" w:rsidR="00262FC2" w:rsidRPr="007B5E7C" w:rsidRDefault="00262FC2" w:rsidP="00DA4B4C">
            <w:pPr>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法第７条第１項第７号</w:t>
            </w:r>
          </w:p>
        </w:tc>
        <w:tc>
          <w:tcPr>
            <w:tcW w:w="1779" w:type="dxa"/>
            <w:noWrap/>
            <w:hideMark/>
          </w:tcPr>
          <w:p w14:paraId="2E1C417A" w14:textId="77777777" w:rsidR="00262FC2" w:rsidRPr="007B5E7C" w:rsidRDefault="00262FC2" w:rsidP="00DA4B4C">
            <w:pPr>
              <w:ind w:firstLineChars="100" w:firstLine="303"/>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 xml:space="preserve">　</w:t>
            </w:r>
          </w:p>
        </w:tc>
      </w:tr>
      <w:tr w:rsidR="00262FC2" w:rsidRPr="007B5E7C" w14:paraId="3222D574" w14:textId="77777777" w:rsidTr="00DA4B4C">
        <w:trPr>
          <w:trHeight w:val="998"/>
        </w:trPr>
        <w:tc>
          <w:tcPr>
            <w:tcW w:w="6213" w:type="dxa"/>
            <w:hideMark/>
          </w:tcPr>
          <w:p w14:paraId="21E84D19" w14:textId="77777777" w:rsidR="00262FC2" w:rsidRPr="007B5E7C" w:rsidRDefault="00262FC2" w:rsidP="00DA4B4C">
            <w:pPr>
              <w:ind w:left="303" w:hangingChars="100" w:hanging="303"/>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⑼　家賃等の前払金について、事業者が返還債務を負うこととなる場合に備えて、必要な保全措置が講じられていること</w:t>
            </w:r>
          </w:p>
        </w:tc>
        <w:tc>
          <w:tcPr>
            <w:tcW w:w="1862" w:type="dxa"/>
            <w:hideMark/>
          </w:tcPr>
          <w:p w14:paraId="67E27393" w14:textId="77777777" w:rsidR="00262FC2" w:rsidRPr="007B5E7C" w:rsidRDefault="00262FC2" w:rsidP="00DA4B4C">
            <w:pPr>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・法第７条第１項第８号</w:t>
            </w:r>
            <w:r w:rsidRPr="007B5E7C">
              <w:rPr>
                <w:rFonts w:ascii="ＭＳ 明朝" w:hAnsi="ＭＳ 明朝" w:hint="eastAsia"/>
                <w:b/>
                <w:color w:val="000000" w:themeColor="text1"/>
                <w:sz w:val="24"/>
                <w:szCs w:val="24"/>
              </w:rPr>
              <w:br/>
              <w:t>・規則第14条</w:t>
            </w:r>
          </w:p>
        </w:tc>
        <w:tc>
          <w:tcPr>
            <w:tcW w:w="1779" w:type="dxa"/>
            <w:noWrap/>
            <w:hideMark/>
          </w:tcPr>
          <w:p w14:paraId="7578B0C8" w14:textId="77777777" w:rsidR="00262FC2" w:rsidRPr="007B5E7C" w:rsidRDefault="00262FC2" w:rsidP="00DA4B4C">
            <w:pPr>
              <w:ind w:firstLineChars="100" w:firstLine="303"/>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 xml:space="preserve">　</w:t>
            </w:r>
          </w:p>
        </w:tc>
      </w:tr>
      <w:tr w:rsidR="00262FC2" w:rsidRPr="007B5E7C" w14:paraId="700EABED" w14:textId="77777777" w:rsidTr="00DA4B4C">
        <w:trPr>
          <w:trHeight w:val="945"/>
        </w:trPr>
        <w:tc>
          <w:tcPr>
            <w:tcW w:w="9854" w:type="dxa"/>
            <w:gridSpan w:val="3"/>
            <w:hideMark/>
          </w:tcPr>
          <w:p w14:paraId="7D639316" w14:textId="77777777" w:rsidR="00262FC2" w:rsidRPr="007B5E7C" w:rsidRDefault="00262FC2" w:rsidP="00DA4B4C">
            <w:pPr>
              <w:rPr>
                <w:rFonts w:ascii="ＭＳ 明朝" w:hAnsi="ＭＳ 明朝"/>
                <w:b/>
                <w:color w:val="000000" w:themeColor="text1"/>
                <w:sz w:val="24"/>
                <w:szCs w:val="24"/>
              </w:rPr>
            </w:pPr>
            <w:r w:rsidRPr="007B5E7C">
              <w:rPr>
                <w:rFonts w:ascii="ＭＳ 明朝" w:hAnsi="ＭＳ 明朝" w:hint="eastAsia"/>
                <w:b/>
                <w:color w:val="000000" w:themeColor="text1"/>
                <w:sz w:val="24"/>
                <w:szCs w:val="24"/>
              </w:rPr>
              <w:t>（※）根拠規定</w:t>
            </w:r>
            <w:r w:rsidRPr="007B5E7C">
              <w:rPr>
                <w:rFonts w:ascii="ＭＳ 明朝" w:hAnsi="ＭＳ 明朝" w:hint="eastAsia"/>
                <w:b/>
                <w:color w:val="000000" w:themeColor="text1"/>
                <w:sz w:val="24"/>
                <w:szCs w:val="24"/>
              </w:rPr>
              <w:br/>
              <w:t>法：高齢者の居住の安定確保に関する法律（平成13年法律第26号）、規則：国土交通省・厚生労働省関係高齢者の居住の安定確保に関する法律施行規則（平成23年厚生労働省</w:t>
            </w:r>
            <w:r w:rsidRPr="007B5E7C">
              <w:rPr>
                <w:rFonts w:ascii="ＭＳ 明朝" w:hAnsi="ＭＳ 明朝" w:hint="eastAsia"/>
                <w:b/>
                <w:strike/>
                <w:color w:val="000000" w:themeColor="text1"/>
                <w:sz w:val="24"/>
                <w:szCs w:val="24"/>
              </w:rPr>
              <w:t>令</w:t>
            </w:r>
            <w:r w:rsidRPr="007B5E7C">
              <w:rPr>
                <w:rFonts w:ascii="ＭＳ 明朝" w:hAnsi="ＭＳ 明朝" w:hint="eastAsia"/>
                <w:b/>
                <w:color w:val="000000" w:themeColor="text1"/>
                <w:sz w:val="24"/>
                <w:szCs w:val="24"/>
              </w:rPr>
              <w:t>・国土交通省令第２号）</w:t>
            </w:r>
          </w:p>
        </w:tc>
      </w:tr>
    </w:tbl>
    <w:p w14:paraId="0D02C3D3" w14:textId="76C35D30" w:rsidR="001203EC" w:rsidRPr="00262FC2" w:rsidRDefault="001203EC" w:rsidP="0078316B">
      <w:pPr>
        <w:autoSpaceDE w:val="0"/>
        <w:autoSpaceDN w:val="0"/>
        <w:adjustRightInd w:val="0"/>
        <w:spacing w:line="320" w:lineRule="exact"/>
        <w:jc w:val="left"/>
        <w:rPr>
          <w:rFonts w:hAnsi="ＭＳ 明朝" w:cs="MS-Mincho"/>
          <w:b/>
          <w:color w:val="000000" w:themeColor="text1"/>
          <w:sz w:val="24"/>
          <w:szCs w:val="24"/>
        </w:rPr>
      </w:pPr>
      <w:bookmarkStart w:id="1" w:name="_GoBack"/>
      <w:bookmarkEnd w:id="1"/>
    </w:p>
    <w:sectPr w:rsidR="001203EC" w:rsidRPr="00262FC2" w:rsidSect="005D5BCB">
      <w:pgSz w:w="11906" w:h="16838" w:code="9"/>
      <w:pgMar w:top="1021" w:right="1021" w:bottom="1021" w:left="1021" w:header="720" w:footer="567" w:gutter="0"/>
      <w:cols w:space="425"/>
      <w:noEndnote/>
      <w:docGrid w:type="linesAndChars" w:linePitch="422" w:charSpace="1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4E697" w14:textId="77777777" w:rsidR="00A30DE4" w:rsidRDefault="00A30DE4">
      <w:pPr>
        <w:spacing w:line="240" w:lineRule="auto"/>
      </w:pPr>
      <w:r>
        <w:separator/>
      </w:r>
    </w:p>
  </w:endnote>
  <w:endnote w:type="continuationSeparator" w:id="0">
    <w:p w14:paraId="40B4BC52" w14:textId="77777777" w:rsidR="00A30DE4" w:rsidRDefault="00A30D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C4210" w14:textId="77777777" w:rsidR="00A30DE4" w:rsidRDefault="00A30DE4">
      <w:pPr>
        <w:spacing w:line="240" w:lineRule="auto"/>
      </w:pPr>
      <w:r>
        <w:separator/>
      </w:r>
    </w:p>
  </w:footnote>
  <w:footnote w:type="continuationSeparator" w:id="0">
    <w:p w14:paraId="461FD191" w14:textId="77777777" w:rsidR="00A30DE4" w:rsidRDefault="00A30D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57490"/>
    <w:multiLevelType w:val="hybridMultilevel"/>
    <w:tmpl w:val="A0B005C4"/>
    <w:lvl w:ilvl="0" w:tplc="B19431B0">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bordersDoNotSurroundHeader/>
  <w:bordersDoNotSurroundFooter/>
  <w:proofState w:spelling="clean" w:grammar="dirty"/>
  <w:defaultTabStop w:val="840"/>
  <w:drawingGridHorizontalSpacing w:val="127"/>
  <w:drawingGridVerticalSpacing w:val="20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07"/>
    <w:rsid w:val="00000265"/>
    <w:rsid w:val="000017FA"/>
    <w:rsid w:val="000104D3"/>
    <w:rsid w:val="000200C6"/>
    <w:rsid w:val="000237AA"/>
    <w:rsid w:val="00037F19"/>
    <w:rsid w:val="00044037"/>
    <w:rsid w:val="00050560"/>
    <w:rsid w:val="00051471"/>
    <w:rsid w:val="000536E4"/>
    <w:rsid w:val="00063D9C"/>
    <w:rsid w:val="000641D0"/>
    <w:rsid w:val="0006784E"/>
    <w:rsid w:val="000734CF"/>
    <w:rsid w:val="00075587"/>
    <w:rsid w:val="00082756"/>
    <w:rsid w:val="00093F56"/>
    <w:rsid w:val="000A4108"/>
    <w:rsid w:val="000A7EA1"/>
    <w:rsid w:val="000B4549"/>
    <w:rsid w:val="000B6AF4"/>
    <w:rsid w:val="000D3532"/>
    <w:rsid w:val="000E5E48"/>
    <w:rsid w:val="000F1D3D"/>
    <w:rsid w:val="000F7DCB"/>
    <w:rsid w:val="00103218"/>
    <w:rsid w:val="001044B0"/>
    <w:rsid w:val="001106E9"/>
    <w:rsid w:val="00111AB2"/>
    <w:rsid w:val="00114E15"/>
    <w:rsid w:val="001203EC"/>
    <w:rsid w:val="001222B5"/>
    <w:rsid w:val="00131183"/>
    <w:rsid w:val="00134E6D"/>
    <w:rsid w:val="001357C7"/>
    <w:rsid w:val="00142102"/>
    <w:rsid w:val="00151F36"/>
    <w:rsid w:val="001538C9"/>
    <w:rsid w:val="00157EAA"/>
    <w:rsid w:val="0016112C"/>
    <w:rsid w:val="0016176A"/>
    <w:rsid w:val="0017031A"/>
    <w:rsid w:val="001732CA"/>
    <w:rsid w:val="001759D9"/>
    <w:rsid w:val="001916D8"/>
    <w:rsid w:val="00194F0F"/>
    <w:rsid w:val="001973B5"/>
    <w:rsid w:val="001A3937"/>
    <w:rsid w:val="001B3F92"/>
    <w:rsid w:val="001B5699"/>
    <w:rsid w:val="001B63D5"/>
    <w:rsid w:val="001B6B64"/>
    <w:rsid w:val="001C45FC"/>
    <w:rsid w:val="001D4BF0"/>
    <w:rsid w:val="001D5E24"/>
    <w:rsid w:val="001D7EEF"/>
    <w:rsid w:val="001E1355"/>
    <w:rsid w:val="001E7296"/>
    <w:rsid w:val="001F2F8E"/>
    <w:rsid w:val="001F4ACA"/>
    <w:rsid w:val="002020DC"/>
    <w:rsid w:val="0020230C"/>
    <w:rsid w:val="002105DE"/>
    <w:rsid w:val="00215883"/>
    <w:rsid w:val="00221680"/>
    <w:rsid w:val="002226A2"/>
    <w:rsid w:val="00224341"/>
    <w:rsid w:val="002251F4"/>
    <w:rsid w:val="002321FD"/>
    <w:rsid w:val="002326F6"/>
    <w:rsid w:val="00251D63"/>
    <w:rsid w:val="00257B55"/>
    <w:rsid w:val="00262CEF"/>
    <w:rsid w:val="00262FC2"/>
    <w:rsid w:val="0026388C"/>
    <w:rsid w:val="002673F6"/>
    <w:rsid w:val="0027041D"/>
    <w:rsid w:val="00275D03"/>
    <w:rsid w:val="0027705F"/>
    <w:rsid w:val="00287ECA"/>
    <w:rsid w:val="0029080F"/>
    <w:rsid w:val="0029627F"/>
    <w:rsid w:val="00297056"/>
    <w:rsid w:val="002A36D0"/>
    <w:rsid w:val="002B285A"/>
    <w:rsid w:val="002B4B95"/>
    <w:rsid w:val="002C47C5"/>
    <w:rsid w:val="002C523C"/>
    <w:rsid w:val="002C5E8A"/>
    <w:rsid w:val="002D0FC9"/>
    <w:rsid w:val="002D46E4"/>
    <w:rsid w:val="002D64CC"/>
    <w:rsid w:val="002D7BF9"/>
    <w:rsid w:val="002E661C"/>
    <w:rsid w:val="003003C0"/>
    <w:rsid w:val="003008EF"/>
    <w:rsid w:val="00301830"/>
    <w:rsid w:val="003135AD"/>
    <w:rsid w:val="003221CE"/>
    <w:rsid w:val="00336A3A"/>
    <w:rsid w:val="00345D46"/>
    <w:rsid w:val="00353ED2"/>
    <w:rsid w:val="00365872"/>
    <w:rsid w:val="00365C33"/>
    <w:rsid w:val="0036606E"/>
    <w:rsid w:val="0037221B"/>
    <w:rsid w:val="00381960"/>
    <w:rsid w:val="00387EB7"/>
    <w:rsid w:val="00390871"/>
    <w:rsid w:val="003955E1"/>
    <w:rsid w:val="003A16DB"/>
    <w:rsid w:val="003A5222"/>
    <w:rsid w:val="003A5AED"/>
    <w:rsid w:val="003A78D5"/>
    <w:rsid w:val="003B34F0"/>
    <w:rsid w:val="003B6384"/>
    <w:rsid w:val="003E72DD"/>
    <w:rsid w:val="0041017B"/>
    <w:rsid w:val="004218D7"/>
    <w:rsid w:val="0042761F"/>
    <w:rsid w:val="004369D0"/>
    <w:rsid w:val="004373F9"/>
    <w:rsid w:val="00437648"/>
    <w:rsid w:val="004439B4"/>
    <w:rsid w:val="00452226"/>
    <w:rsid w:val="00460514"/>
    <w:rsid w:val="00475892"/>
    <w:rsid w:val="00486CE8"/>
    <w:rsid w:val="004A1FFD"/>
    <w:rsid w:val="004A3A8D"/>
    <w:rsid w:val="004B1E4C"/>
    <w:rsid w:val="004B6FF8"/>
    <w:rsid w:val="0050184F"/>
    <w:rsid w:val="00502F03"/>
    <w:rsid w:val="00504B99"/>
    <w:rsid w:val="00511ABB"/>
    <w:rsid w:val="00523EF8"/>
    <w:rsid w:val="00551F7D"/>
    <w:rsid w:val="00554282"/>
    <w:rsid w:val="0056422B"/>
    <w:rsid w:val="005773F2"/>
    <w:rsid w:val="00581363"/>
    <w:rsid w:val="005937A6"/>
    <w:rsid w:val="00596341"/>
    <w:rsid w:val="005A3703"/>
    <w:rsid w:val="005A536F"/>
    <w:rsid w:val="005B7DDC"/>
    <w:rsid w:val="005D5BCB"/>
    <w:rsid w:val="005D68AB"/>
    <w:rsid w:val="005E1198"/>
    <w:rsid w:val="005E1610"/>
    <w:rsid w:val="005E3469"/>
    <w:rsid w:val="005E72F1"/>
    <w:rsid w:val="005E78F6"/>
    <w:rsid w:val="006140C9"/>
    <w:rsid w:val="00614517"/>
    <w:rsid w:val="00614D88"/>
    <w:rsid w:val="0061690F"/>
    <w:rsid w:val="00620D25"/>
    <w:rsid w:val="00620E9E"/>
    <w:rsid w:val="00621B80"/>
    <w:rsid w:val="006247BA"/>
    <w:rsid w:val="00624A9A"/>
    <w:rsid w:val="0063602B"/>
    <w:rsid w:val="00645ECE"/>
    <w:rsid w:val="00656460"/>
    <w:rsid w:val="0066026F"/>
    <w:rsid w:val="0067067D"/>
    <w:rsid w:val="00673413"/>
    <w:rsid w:val="00681A6E"/>
    <w:rsid w:val="00683AD3"/>
    <w:rsid w:val="0069102B"/>
    <w:rsid w:val="006B570A"/>
    <w:rsid w:val="006B5B58"/>
    <w:rsid w:val="006C4885"/>
    <w:rsid w:val="006D07A1"/>
    <w:rsid w:val="006D5EB9"/>
    <w:rsid w:val="006E2F1E"/>
    <w:rsid w:val="006E5721"/>
    <w:rsid w:val="006E5AEA"/>
    <w:rsid w:val="006E6CE7"/>
    <w:rsid w:val="006E7FF6"/>
    <w:rsid w:val="00724E6D"/>
    <w:rsid w:val="0072580A"/>
    <w:rsid w:val="007276CF"/>
    <w:rsid w:val="007361E7"/>
    <w:rsid w:val="007414C5"/>
    <w:rsid w:val="00744263"/>
    <w:rsid w:val="00747016"/>
    <w:rsid w:val="007478F9"/>
    <w:rsid w:val="00747B35"/>
    <w:rsid w:val="0075323E"/>
    <w:rsid w:val="00755C13"/>
    <w:rsid w:val="00761ED1"/>
    <w:rsid w:val="0077576D"/>
    <w:rsid w:val="00776B22"/>
    <w:rsid w:val="0078316B"/>
    <w:rsid w:val="00787BFA"/>
    <w:rsid w:val="007A140E"/>
    <w:rsid w:val="007B4E21"/>
    <w:rsid w:val="007B5E7C"/>
    <w:rsid w:val="007B73D3"/>
    <w:rsid w:val="007C5711"/>
    <w:rsid w:val="007D52E6"/>
    <w:rsid w:val="007D6E81"/>
    <w:rsid w:val="007E71F9"/>
    <w:rsid w:val="007E7DE8"/>
    <w:rsid w:val="007F4570"/>
    <w:rsid w:val="007F5C40"/>
    <w:rsid w:val="00811F3A"/>
    <w:rsid w:val="0081655C"/>
    <w:rsid w:val="008175B4"/>
    <w:rsid w:val="00821AA3"/>
    <w:rsid w:val="00830F2D"/>
    <w:rsid w:val="00832A96"/>
    <w:rsid w:val="0083392E"/>
    <w:rsid w:val="00834129"/>
    <w:rsid w:val="0083519A"/>
    <w:rsid w:val="00844AA9"/>
    <w:rsid w:val="00857724"/>
    <w:rsid w:val="00872AD0"/>
    <w:rsid w:val="0087465E"/>
    <w:rsid w:val="00896671"/>
    <w:rsid w:val="008B4381"/>
    <w:rsid w:val="008B69E6"/>
    <w:rsid w:val="008C5425"/>
    <w:rsid w:val="008E0C9E"/>
    <w:rsid w:val="008E30B9"/>
    <w:rsid w:val="008E457A"/>
    <w:rsid w:val="008E6787"/>
    <w:rsid w:val="008F3FE9"/>
    <w:rsid w:val="008F5E3B"/>
    <w:rsid w:val="008F77B2"/>
    <w:rsid w:val="00900711"/>
    <w:rsid w:val="009022DA"/>
    <w:rsid w:val="00902BCC"/>
    <w:rsid w:val="009113A2"/>
    <w:rsid w:val="009245D5"/>
    <w:rsid w:val="00926082"/>
    <w:rsid w:val="00931138"/>
    <w:rsid w:val="009462FB"/>
    <w:rsid w:val="00952F6F"/>
    <w:rsid w:val="00953FF5"/>
    <w:rsid w:val="009575A8"/>
    <w:rsid w:val="0096349E"/>
    <w:rsid w:val="009640DB"/>
    <w:rsid w:val="0096480C"/>
    <w:rsid w:val="00970DF5"/>
    <w:rsid w:val="00971CB2"/>
    <w:rsid w:val="00974672"/>
    <w:rsid w:val="009850CB"/>
    <w:rsid w:val="00987DAD"/>
    <w:rsid w:val="00992A09"/>
    <w:rsid w:val="00996C6C"/>
    <w:rsid w:val="009970B7"/>
    <w:rsid w:val="009A2F0F"/>
    <w:rsid w:val="009C4717"/>
    <w:rsid w:val="009D1E35"/>
    <w:rsid w:val="00A12032"/>
    <w:rsid w:val="00A20845"/>
    <w:rsid w:val="00A20DDB"/>
    <w:rsid w:val="00A30DE4"/>
    <w:rsid w:val="00A3754C"/>
    <w:rsid w:val="00A535AB"/>
    <w:rsid w:val="00A64F13"/>
    <w:rsid w:val="00A7159A"/>
    <w:rsid w:val="00A73B50"/>
    <w:rsid w:val="00A751DF"/>
    <w:rsid w:val="00A8394F"/>
    <w:rsid w:val="00A84B21"/>
    <w:rsid w:val="00A9041A"/>
    <w:rsid w:val="00A9593A"/>
    <w:rsid w:val="00AA30D3"/>
    <w:rsid w:val="00AA6A07"/>
    <w:rsid w:val="00AB1599"/>
    <w:rsid w:val="00AB55E5"/>
    <w:rsid w:val="00AC45CB"/>
    <w:rsid w:val="00AC791E"/>
    <w:rsid w:val="00AD5EB8"/>
    <w:rsid w:val="00AE197F"/>
    <w:rsid w:val="00AF0D25"/>
    <w:rsid w:val="00AF2789"/>
    <w:rsid w:val="00B02143"/>
    <w:rsid w:val="00B03AF7"/>
    <w:rsid w:val="00B03F0B"/>
    <w:rsid w:val="00B0673B"/>
    <w:rsid w:val="00B159BB"/>
    <w:rsid w:val="00B202CE"/>
    <w:rsid w:val="00B31D1A"/>
    <w:rsid w:val="00B377E1"/>
    <w:rsid w:val="00B4003E"/>
    <w:rsid w:val="00B40FCA"/>
    <w:rsid w:val="00B558C5"/>
    <w:rsid w:val="00B63E90"/>
    <w:rsid w:val="00B71913"/>
    <w:rsid w:val="00B73A5F"/>
    <w:rsid w:val="00B9300C"/>
    <w:rsid w:val="00B9457F"/>
    <w:rsid w:val="00B95C83"/>
    <w:rsid w:val="00B97FC4"/>
    <w:rsid w:val="00BA78B9"/>
    <w:rsid w:val="00BC6253"/>
    <w:rsid w:val="00BE3ADE"/>
    <w:rsid w:val="00BF4018"/>
    <w:rsid w:val="00C053DA"/>
    <w:rsid w:val="00C05E85"/>
    <w:rsid w:val="00C06FDC"/>
    <w:rsid w:val="00C10637"/>
    <w:rsid w:val="00C161F4"/>
    <w:rsid w:val="00C1781E"/>
    <w:rsid w:val="00C21E33"/>
    <w:rsid w:val="00C269E6"/>
    <w:rsid w:val="00C33077"/>
    <w:rsid w:val="00C47C01"/>
    <w:rsid w:val="00C5412A"/>
    <w:rsid w:val="00C57EE5"/>
    <w:rsid w:val="00C636F8"/>
    <w:rsid w:val="00C73783"/>
    <w:rsid w:val="00C75AE7"/>
    <w:rsid w:val="00C822AB"/>
    <w:rsid w:val="00C83293"/>
    <w:rsid w:val="00C910FF"/>
    <w:rsid w:val="00CA0E8E"/>
    <w:rsid w:val="00CA4069"/>
    <w:rsid w:val="00CB3FA0"/>
    <w:rsid w:val="00CB4414"/>
    <w:rsid w:val="00CC19D4"/>
    <w:rsid w:val="00CC2388"/>
    <w:rsid w:val="00CC2904"/>
    <w:rsid w:val="00CD0663"/>
    <w:rsid w:val="00CD2831"/>
    <w:rsid w:val="00CD7DEF"/>
    <w:rsid w:val="00CF00E7"/>
    <w:rsid w:val="00D07608"/>
    <w:rsid w:val="00D07AF5"/>
    <w:rsid w:val="00D1142D"/>
    <w:rsid w:val="00D11790"/>
    <w:rsid w:val="00D14313"/>
    <w:rsid w:val="00D15724"/>
    <w:rsid w:val="00D20106"/>
    <w:rsid w:val="00D25B48"/>
    <w:rsid w:val="00D37267"/>
    <w:rsid w:val="00D373B9"/>
    <w:rsid w:val="00D37D40"/>
    <w:rsid w:val="00D432A0"/>
    <w:rsid w:val="00D60B09"/>
    <w:rsid w:val="00D64E8E"/>
    <w:rsid w:val="00D8355A"/>
    <w:rsid w:val="00D85436"/>
    <w:rsid w:val="00DA14F0"/>
    <w:rsid w:val="00DA59AF"/>
    <w:rsid w:val="00DD2727"/>
    <w:rsid w:val="00DE10CD"/>
    <w:rsid w:val="00DE4D69"/>
    <w:rsid w:val="00DF33D9"/>
    <w:rsid w:val="00DF50E2"/>
    <w:rsid w:val="00E073B4"/>
    <w:rsid w:val="00E1786E"/>
    <w:rsid w:val="00E32D23"/>
    <w:rsid w:val="00E348A4"/>
    <w:rsid w:val="00E41FCB"/>
    <w:rsid w:val="00E422EE"/>
    <w:rsid w:val="00E50949"/>
    <w:rsid w:val="00E50EC9"/>
    <w:rsid w:val="00E56ED8"/>
    <w:rsid w:val="00E84B8C"/>
    <w:rsid w:val="00EA0735"/>
    <w:rsid w:val="00EB53EE"/>
    <w:rsid w:val="00EC127A"/>
    <w:rsid w:val="00EC5D3E"/>
    <w:rsid w:val="00EC6309"/>
    <w:rsid w:val="00EF1DDC"/>
    <w:rsid w:val="00EF48F3"/>
    <w:rsid w:val="00EF4DA3"/>
    <w:rsid w:val="00F10628"/>
    <w:rsid w:val="00F13D3E"/>
    <w:rsid w:val="00F17288"/>
    <w:rsid w:val="00F45A7B"/>
    <w:rsid w:val="00F46A82"/>
    <w:rsid w:val="00F655F4"/>
    <w:rsid w:val="00F7403D"/>
    <w:rsid w:val="00F853F3"/>
    <w:rsid w:val="00F911A9"/>
    <w:rsid w:val="00F91746"/>
    <w:rsid w:val="00F92659"/>
    <w:rsid w:val="00F94EFF"/>
    <w:rsid w:val="00F9697A"/>
    <w:rsid w:val="00FA5049"/>
    <w:rsid w:val="00FA7AF7"/>
    <w:rsid w:val="00FB2F86"/>
    <w:rsid w:val="00FB333E"/>
    <w:rsid w:val="00FB37BA"/>
    <w:rsid w:val="00FB645F"/>
    <w:rsid w:val="00FB78A2"/>
    <w:rsid w:val="00FC228D"/>
    <w:rsid w:val="00FC3C82"/>
    <w:rsid w:val="00FC4FC7"/>
    <w:rsid w:val="00FE25DB"/>
    <w:rsid w:val="00FE2EC7"/>
    <w:rsid w:val="00FF1178"/>
    <w:rsid w:val="00FF15EB"/>
    <w:rsid w:val="00FF6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0FA6F1"/>
  <w15:chartTrackingRefBased/>
  <w15:docId w15:val="{F5498A89-17DB-4F10-8522-EAA0BE59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263"/>
    <w:pPr>
      <w:widowControl w:val="0"/>
      <w:spacing w:line="40" w:lineRule="atLeast"/>
      <w:jc w:val="both"/>
    </w:pPr>
    <w:rPr>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D40"/>
    <w:pPr>
      <w:tabs>
        <w:tab w:val="center" w:pos="4252"/>
        <w:tab w:val="right" w:pos="8504"/>
      </w:tabs>
      <w:snapToGrid w:val="0"/>
    </w:pPr>
  </w:style>
  <w:style w:type="character" w:customStyle="1" w:styleId="a4">
    <w:name w:val="ヘッダー (文字)"/>
    <w:link w:val="a3"/>
    <w:uiPriority w:val="99"/>
    <w:rsid w:val="00D37D40"/>
    <w:rPr>
      <w:color w:val="000000"/>
      <w:sz w:val="22"/>
      <w:szCs w:val="22"/>
    </w:rPr>
  </w:style>
  <w:style w:type="paragraph" w:styleId="a5">
    <w:name w:val="footer"/>
    <w:basedOn w:val="a"/>
    <w:link w:val="a6"/>
    <w:uiPriority w:val="99"/>
    <w:unhideWhenUsed/>
    <w:rsid w:val="00D37D40"/>
    <w:pPr>
      <w:tabs>
        <w:tab w:val="center" w:pos="4252"/>
        <w:tab w:val="right" w:pos="8504"/>
      </w:tabs>
      <w:snapToGrid w:val="0"/>
    </w:pPr>
  </w:style>
  <w:style w:type="character" w:customStyle="1" w:styleId="a6">
    <w:name w:val="フッター (文字)"/>
    <w:link w:val="a5"/>
    <w:uiPriority w:val="99"/>
    <w:rsid w:val="00D37D40"/>
    <w:rPr>
      <w:color w:val="000000"/>
      <w:sz w:val="22"/>
      <w:szCs w:val="22"/>
    </w:rPr>
  </w:style>
  <w:style w:type="paragraph" w:styleId="a7">
    <w:name w:val="Revision"/>
    <w:hidden/>
    <w:uiPriority w:val="99"/>
    <w:semiHidden/>
    <w:rsid w:val="000641D0"/>
    <w:rPr>
      <w:color w:val="000000"/>
      <w:sz w:val="22"/>
      <w:szCs w:val="22"/>
    </w:rPr>
  </w:style>
  <w:style w:type="table" w:styleId="a8">
    <w:name w:val="Table Grid"/>
    <w:basedOn w:val="a1"/>
    <w:uiPriority w:val="59"/>
    <w:rsid w:val="00410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017B"/>
    <w:pPr>
      <w:spacing w:line="240" w:lineRule="auto"/>
    </w:pPr>
    <w:rPr>
      <w:rFonts w:ascii="游ゴシック Light" w:eastAsia="游ゴシック Light" w:hAnsi="游ゴシック Light" w:cs="Times New Roman"/>
      <w:sz w:val="18"/>
      <w:szCs w:val="18"/>
    </w:rPr>
  </w:style>
  <w:style w:type="character" w:customStyle="1" w:styleId="aa">
    <w:name w:val="吹き出し (文字)"/>
    <w:basedOn w:val="a0"/>
    <w:link w:val="a9"/>
    <w:uiPriority w:val="99"/>
    <w:semiHidden/>
    <w:rsid w:val="0041017B"/>
    <w:rPr>
      <w:rFonts w:ascii="游ゴシック Light" w:eastAsia="游ゴシック Light" w:hAnsi="游ゴシック Light" w:cs="Times New Roman"/>
      <w:color w:val="000000"/>
      <w:sz w:val="18"/>
      <w:szCs w:val="18"/>
    </w:rPr>
  </w:style>
  <w:style w:type="paragraph" w:styleId="ab">
    <w:name w:val="List Paragraph"/>
    <w:basedOn w:val="a"/>
    <w:uiPriority w:val="34"/>
    <w:qFormat/>
    <w:rsid w:val="004101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296337">
      <w:bodyDiv w:val="1"/>
      <w:marLeft w:val="0"/>
      <w:marRight w:val="0"/>
      <w:marTop w:val="0"/>
      <w:marBottom w:val="0"/>
      <w:divBdr>
        <w:top w:val="none" w:sz="0" w:space="0" w:color="auto"/>
        <w:left w:val="none" w:sz="0" w:space="0" w:color="auto"/>
        <w:bottom w:val="none" w:sz="0" w:space="0" w:color="auto"/>
        <w:right w:val="none" w:sz="0" w:space="0" w:color="auto"/>
      </w:divBdr>
    </w:div>
    <w:div w:id="325941734">
      <w:bodyDiv w:val="1"/>
      <w:marLeft w:val="0"/>
      <w:marRight w:val="0"/>
      <w:marTop w:val="0"/>
      <w:marBottom w:val="0"/>
      <w:divBdr>
        <w:top w:val="none" w:sz="0" w:space="0" w:color="auto"/>
        <w:left w:val="none" w:sz="0" w:space="0" w:color="auto"/>
        <w:bottom w:val="none" w:sz="0" w:space="0" w:color="auto"/>
        <w:right w:val="none" w:sz="0" w:space="0" w:color="auto"/>
      </w:divBdr>
    </w:div>
    <w:div w:id="453989496">
      <w:bodyDiv w:val="1"/>
      <w:marLeft w:val="0"/>
      <w:marRight w:val="0"/>
      <w:marTop w:val="0"/>
      <w:marBottom w:val="0"/>
      <w:divBdr>
        <w:top w:val="none" w:sz="0" w:space="0" w:color="auto"/>
        <w:left w:val="none" w:sz="0" w:space="0" w:color="auto"/>
        <w:bottom w:val="none" w:sz="0" w:space="0" w:color="auto"/>
        <w:right w:val="none" w:sz="0" w:space="0" w:color="auto"/>
      </w:divBdr>
    </w:div>
    <w:div w:id="524950634">
      <w:bodyDiv w:val="1"/>
      <w:marLeft w:val="0"/>
      <w:marRight w:val="0"/>
      <w:marTop w:val="0"/>
      <w:marBottom w:val="0"/>
      <w:divBdr>
        <w:top w:val="none" w:sz="0" w:space="0" w:color="auto"/>
        <w:left w:val="none" w:sz="0" w:space="0" w:color="auto"/>
        <w:bottom w:val="none" w:sz="0" w:space="0" w:color="auto"/>
        <w:right w:val="none" w:sz="0" w:space="0" w:color="auto"/>
      </w:divBdr>
    </w:div>
    <w:div w:id="549265706">
      <w:bodyDiv w:val="1"/>
      <w:marLeft w:val="0"/>
      <w:marRight w:val="0"/>
      <w:marTop w:val="0"/>
      <w:marBottom w:val="0"/>
      <w:divBdr>
        <w:top w:val="none" w:sz="0" w:space="0" w:color="auto"/>
        <w:left w:val="none" w:sz="0" w:space="0" w:color="auto"/>
        <w:bottom w:val="none" w:sz="0" w:space="0" w:color="auto"/>
        <w:right w:val="none" w:sz="0" w:space="0" w:color="auto"/>
      </w:divBdr>
    </w:div>
    <w:div w:id="661348541">
      <w:bodyDiv w:val="1"/>
      <w:marLeft w:val="0"/>
      <w:marRight w:val="0"/>
      <w:marTop w:val="0"/>
      <w:marBottom w:val="0"/>
      <w:divBdr>
        <w:top w:val="none" w:sz="0" w:space="0" w:color="auto"/>
        <w:left w:val="none" w:sz="0" w:space="0" w:color="auto"/>
        <w:bottom w:val="none" w:sz="0" w:space="0" w:color="auto"/>
        <w:right w:val="none" w:sz="0" w:space="0" w:color="auto"/>
      </w:divBdr>
    </w:div>
    <w:div w:id="705762603">
      <w:bodyDiv w:val="1"/>
      <w:marLeft w:val="0"/>
      <w:marRight w:val="0"/>
      <w:marTop w:val="0"/>
      <w:marBottom w:val="0"/>
      <w:divBdr>
        <w:top w:val="none" w:sz="0" w:space="0" w:color="auto"/>
        <w:left w:val="none" w:sz="0" w:space="0" w:color="auto"/>
        <w:bottom w:val="none" w:sz="0" w:space="0" w:color="auto"/>
        <w:right w:val="none" w:sz="0" w:space="0" w:color="auto"/>
      </w:divBdr>
    </w:div>
    <w:div w:id="755252695">
      <w:bodyDiv w:val="1"/>
      <w:marLeft w:val="0"/>
      <w:marRight w:val="0"/>
      <w:marTop w:val="0"/>
      <w:marBottom w:val="0"/>
      <w:divBdr>
        <w:top w:val="none" w:sz="0" w:space="0" w:color="auto"/>
        <w:left w:val="none" w:sz="0" w:space="0" w:color="auto"/>
        <w:bottom w:val="none" w:sz="0" w:space="0" w:color="auto"/>
        <w:right w:val="none" w:sz="0" w:space="0" w:color="auto"/>
      </w:divBdr>
    </w:div>
    <w:div w:id="764181909">
      <w:bodyDiv w:val="1"/>
      <w:marLeft w:val="0"/>
      <w:marRight w:val="0"/>
      <w:marTop w:val="0"/>
      <w:marBottom w:val="0"/>
      <w:divBdr>
        <w:top w:val="none" w:sz="0" w:space="0" w:color="auto"/>
        <w:left w:val="none" w:sz="0" w:space="0" w:color="auto"/>
        <w:bottom w:val="none" w:sz="0" w:space="0" w:color="auto"/>
        <w:right w:val="none" w:sz="0" w:space="0" w:color="auto"/>
      </w:divBdr>
    </w:div>
    <w:div w:id="798955049">
      <w:bodyDiv w:val="1"/>
      <w:marLeft w:val="0"/>
      <w:marRight w:val="0"/>
      <w:marTop w:val="0"/>
      <w:marBottom w:val="0"/>
      <w:divBdr>
        <w:top w:val="none" w:sz="0" w:space="0" w:color="auto"/>
        <w:left w:val="none" w:sz="0" w:space="0" w:color="auto"/>
        <w:bottom w:val="none" w:sz="0" w:space="0" w:color="auto"/>
        <w:right w:val="none" w:sz="0" w:space="0" w:color="auto"/>
      </w:divBdr>
    </w:div>
    <w:div w:id="841747935">
      <w:bodyDiv w:val="1"/>
      <w:marLeft w:val="0"/>
      <w:marRight w:val="0"/>
      <w:marTop w:val="0"/>
      <w:marBottom w:val="0"/>
      <w:divBdr>
        <w:top w:val="none" w:sz="0" w:space="0" w:color="auto"/>
        <w:left w:val="none" w:sz="0" w:space="0" w:color="auto"/>
        <w:bottom w:val="none" w:sz="0" w:space="0" w:color="auto"/>
        <w:right w:val="none" w:sz="0" w:space="0" w:color="auto"/>
      </w:divBdr>
    </w:div>
    <w:div w:id="876501471">
      <w:bodyDiv w:val="1"/>
      <w:marLeft w:val="0"/>
      <w:marRight w:val="0"/>
      <w:marTop w:val="0"/>
      <w:marBottom w:val="0"/>
      <w:divBdr>
        <w:top w:val="none" w:sz="0" w:space="0" w:color="auto"/>
        <w:left w:val="none" w:sz="0" w:space="0" w:color="auto"/>
        <w:bottom w:val="none" w:sz="0" w:space="0" w:color="auto"/>
        <w:right w:val="none" w:sz="0" w:space="0" w:color="auto"/>
      </w:divBdr>
    </w:div>
    <w:div w:id="1268267528">
      <w:bodyDiv w:val="1"/>
      <w:marLeft w:val="0"/>
      <w:marRight w:val="0"/>
      <w:marTop w:val="0"/>
      <w:marBottom w:val="0"/>
      <w:divBdr>
        <w:top w:val="none" w:sz="0" w:space="0" w:color="auto"/>
        <w:left w:val="none" w:sz="0" w:space="0" w:color="auto"/>
        <w:bottom w:val="none" w:sz="0" w:space="0" w:color="auto"/>
        <w:right w:val="none" w:sz="0" w:space="0" w:color="auto"/>
      </w:divBdr>
    </w:div>
    <w:div w:id="1287392641">
      <w:bodyDiv w:val="1"/>
      <w:marLeft w:val="0"/>
      <w:marRight w:val="0"/>
      <w:marTop w:val="0"/>
      <w:marBottom w:val="0"/>
      <w:divBdr>
        <w:top w:val="none" w:sz="0" w:space="0" w:color="auto"/>
        <w:left w:val="none" w:sz="0" w:space="0" w:color="auto"/>
        <w:bottom w:val="none" w:sz="0" w:space="0" w:color="auto"/>
        <w:right w:val="none" w:sz="0" w:space="0" w:color="auto"/>
      </w:divBdr>
    </w:div>
    <w:div w:id="1320233520">
      <w:bodyDiv w:val="1"/>
      <w:marLeft w:val="0"/>
      <w:marRight w:val="0"/>
      <w:marTop w:val="0"/>
      <w:marBottom w:val="0"/>
      <w:divBdr>
        <w:top w:val="none" w:sz="0" w:space="0" w:color="auto"/>
        <w:left w:val="none" w:sz="0" w:space="0" w:color="auto"/>
        <w:bottom w:val="none" w:sz="0" w:space="0" w:color="auto"/>
        <w:right w:val="none" w:sz="0" w:space="0" w:color="auto"/>
      </w:divBdr>
    </w:div>
    <w:div w:id="1371760248">
      <w:bodyDiv w:val="1"/>
      <w:marLeft w:val="0"/>
      <w:marRight w:val="0"/>
      <w:marTop w:val="0"/>
      <w:marBottom w:val="0"/>
      <w:divBdr>
        <w:top w:val="none" w:sz="0" w:space="0" w:color="auto"/>
        <w:left w:val="none" w:sz="0" w:space="0" w:color="auto"/>
        <w:bottom w:val="none" w:sz="0" w:space="0" w:color="auto"/>
        <w:right w:val="none" w:sz="0" w:space="0" w:color="auto"/>
      </w:divBdr>
    </w:div>
    <w:div w:id="1709723305">
      <w:bodyDiv w:val="1"/>
      <w:marLeft w:val="0"/>
      <w:marRight w:val="0"/>
      <w:marTop w:val="0"/>
      <w:marBottom w:val="0"/>
      <w:divBdr>
        <w:top w:val="none" w:sz="0" w:space="0" w:color="auto"/>
        <w:left w:val="none" w:sz="0" w:space="0" w:color="auto"/>
        <w:bottom w:val="none" w:sz="0" w:space="0" w:color="auto"/>
        <w:right w:val="none" w:sz="0" w:space="0" w:color="auto"/>
      </w:divBdr>
    </w:div>
    <w:div w:id="1840996100">
      <w:bodyDiv w:val="1"/>
      <w:marLeft w:val="0"/>
      <w:marRight w:val="0"/>
      <w:marTop w:val="0"/>
      <w:marBottom w:val="0"/>
      <w:divBdr>
        <w:top w:val="none" w:sz="0" w:space="0" w:color="auto"/>
        <w:left w:val="none" w:sz="0" w:space="0" w:color="auto"/>
        <w:bottom w:val="none" w:sz="0" w:space="0" w:color="auto"/>
        <w:right w:val="none" w:sz="0" w:space="0" w:color="auto"/>
      </w:divBdr>
    </w:div>
    <w:div w:id="1985819199">
      <w:bodyDiv w:val="1"/>
      <w:marLeft w:val="0"/>
      <w:marRight w:val="0"/>
      <w:marTop w:val="0"/>
      <w:marBottom w:val="0"/>
      <w:divBdr>
        <w:top w:val="none" w:sz="0" w:space="0" w:color="auto"/>
        <w:left w:val="none" w:sz="0" w:space="0" w:color="auto"/>
        <w:bottom w:val="none" w:sz="0" w:space="0" w:color="auto"/>
        <w:right w:val="none" w:sz="0" w:space="0" w:color="auto"/>
      </w:divBdr>
    </w:div>
    <w:div w:id="203407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62B2B-06E1-464E-B5DF-7BC2C0B47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cp:lastModifiedBy>近藤　稜馬</cp:lastModifiedBy>
  <cp:revision>6</cp:revision>
  <cp:lastPrinted>2025-10-03T02:19:00Z</cp:lastPrinted>
  <dcterms:created xsi:type="dcterms:W3CDTF">2025-10-21T11:14:00Z</dcterms:created>
  <dcterms:modified xsi:type="dcterms:W3CDTF">2025-10-30T09:13:00Z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2024-03-28T07:21:09Z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1d1ceb98-dee8-48a7-9e8b-7de03c684f73</vt:lpwstr>
  </property>
  <property fmtid="{D5CDD505-2E9C-101B-9397-08002B2CF9AE}" pid="8" name="MSIP_Label_defa4170-0d19-0005-0004-bc88714345d2_ContentBits">
    <vt:lpwstr>0</vt:lpwstr>
  </property>
</Properties>
</file>