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76C4B" w14:textId="60395D2E" w:rsidR="00456ACA" w:rsidRPr="00235E1F" w:rsidRDefault="00456ACA" w:rsidP="00456ACA">
      <w:pPr>
        <w:ind w:firstLineChars="300" w:firstLine="723"/>
        <w:rPr>
          <w:rFonts w:hAnsi="ＭＳ 明朝"/>
          <w:b w:val="0"/>
          <w:szCs w:val="24"/>
        </w:rPr>
      </w:pPr>
      <w:r w:rsidRPr="00235E1F">
        <w:rPr>
          <w:rFonts w:hAnsi="ＭＳ 明朝" w:hint="eastAsia"/>
          <w:szCs w:val="24"/>
        </w:rPr>
        <w:t>大垣市建築物等における地元産木材利用推進方針</w:t>
      </w:r>
    </w:p>
    <w:p w14:paraId="68225674" w14:textId="77777777" w:rsidR="00456ACA" w:rsidRPr="00235E1F" w:rsidRDefault="00456ACA" w:rsidP="00456ACA">
      <w:pPr>
        <w:rPr>
          <w:rFonts w:hAnsi="ＭＳ 明朝"/>
          <w:b w:val="0"/>
          <w:szCs w:val="24"/>
        </w:rPr>
      </w:pPr>
    </w:p>
    <w:p w14:paraId="085B9ED9" w14:textId="303F7661" w:rsidR="00456ACA" w:rsidRPr="00235E1F" w:rsidRDefault="00456ACA" w:rsidP="008E5EB9">
      <w:pPr>
        <w:rPr>
          <w:rFonts w:hAnsi="ＭＳ 明朝"/>
          <w:b w:val="0"/>
          <w:szCs w:val="24"/>
        </w:rPr>
      </w:pPr>
      <w:r w:rsidRPr="00235E1F">
        <w:rPr>
          <w:rFonts w:hAnsi="ＭＳ 明朝" w:hint="eastAsia"/>
          <w:szCs w:val="24"/>
        </w:rPr>
        <w:t>第1　趣旨</w:t>
      </w:r>
    </w:p>
    <w:p w14:paraId="474E2427" w14:textId="3573ADCF" w:rsidR="00456ACA" w:rsidRPr="00235E1F" w:rsidRDefault="00456ACA" w:rsidP="00235E1F">
      <w:pPr>
        <w:ind w:leftChars="100" w:left="241" w:firstLineChars="100" w:firstLine="241"/>
        <w:rPr>
          <w:rFonts w:hAnsi="ＭＳ 明朝"/>
          <w:szCs w:val="24"/>
        </w:rPr>
      </w:pPr>
      <w:r w:rsidRPr="00235E1F">
        <w:rPr>
          <w:rFonts w:hAnsi="ＭＳ 明朝" w:hint="eastAsia"/>
          <w:szCs w:val="24"/>
        </w:rPr>
        <w:t>この方針は、「脱炭素社会の実現に資する等のための建築物等における木材の利用の促進に関する法律」（平成22年法律第36号）（以下「法」という。）第12条第1項の規　定に基づき、岐阜県が定める「岐阜県木の国・山の国県産材利用推進計画」に即して、地元産木材の利用拡大を図ることを目的に、「建築物等における地元産木材利用推進方針」を定めるものとする。</w:t>
      </w:r>
    </w:p>
    <w:p w14:paraId="32347D62" w14:textId="77777777" w:rsidR="008E5EB9" w:rsidRPr="00235E1F" w:rsidRDefault="00456ACA" w:rsidP="008E5EB9">
      <w:pPr>
        <w:rPr>
          <w:rFonts w:hAnsi="ＭＳ 明朝"/>
          <w:b w:val="0"/>
          <w:szCs w:val="24"/>
        </w:rPr>
      </w:pPr>
      <w:r w:rsidRPr="00235E1F">
        <w:rPr>
          <w:rFonts w:hAnsi="ＭＳ 明朝" w:hint="eastAsia"/>
          <w:szCs w:val="24"/>
        </w:rPr>
        <w:t>第2　建築物等における木材利用に関する基本的事項</w:t>
      </w:r>
    </w:p>
    <w:p w14:paraId="4BDED3FA" w14:textId="31DFBE55" w:rsidR="00456ACA" w:rsidRPr="00235E1F" w:rsidRDefault="00456ACA" w:rsidP="00235E1F">
      <w:pPr>
        <w:adjustRightInd w:val="0"/>
        <w:ind w:leftChars="100" w:left="241" w:firstLineChars="100" w:firstLine="241"/>
        <w:rPr>
          <w:rFonts w:hAnsi="ＭＳ 明朝"/>
          <w:b w:val="0"/>
          <w:szCs w:val="24"/>
        </w:rPr>
      </w:pPr>
      <w:r w:rsidRPr="00235E1F">
        <w:rPr>
          <w:rFonts w:hAnsi="ＭＳ 明朝" w:hint="eastAsia"/>
          <w:szCs w:val="24"/>
        </w:rPr>
        <w:t>市は、法第5条に規定する責務を踏まえ、市が整備する公共建築物等において、費用</w:t>
      </w:r>
      <w:r w:rsidR="008E5EB9" w:rsidRPr="00235E1F">
        <w:rPr>
          <w:rFonts w:hAnsi="ＭＳ 明朝" w:hint="eastAsia"/>
          <w:szCs w:val="24"/>
        </w:rPr>
        <w:t xml:space="preserve">　　　　</w:t>
      </w:r>
      <w:r w:rsidRPr="00235E1F">
        <w:rPr>
          <w:rFonts w:hAnsi="ＭＳ 明朝" w:hint="eastAsia"/>
          <w:szCs w:val="24"/>
        </w:rPr>
        <w:t>面で著しく合理性を欠かない範囲で、間伐材をはじめとする地元産木材を積極的に利用した木造化・木質化を推進することにより、市民に木材の持つ優れた特性を提供するとともに、地元産木材の利用拡大を図るものとする。</w:t>
      </w:r>
    </w:p>
    <w:p w14:paraId="6F030259" w14:textId="77777777" w:rsidR="008E5EB9" w:rsidRPr="00235E1F" w:rsidRDefault="00456ACA" w:rsidP="008E5EB9">
      <w:pPr>
        <w:rPr>
          <w:rFonts w:hAnsi="ＭＳ 明朝"/>
          <w:b w:val="0"/>
          <w:szCs w:val="24"/>
        </w:rPr>
      </w:pPr>
      <w:r w:rsidRPr="00235E1F">
        <w:rPr>
          <w:rFonts w:hAnsi="ＭＳ 明朝" w:hint="eastAsia"/>
          <w:szCs w:val="24"/>
        </w:rPr>
        <w:t>第3　公共建築物等における木材の利用の目標</w:t>
      </w:r>
    </w:p>
    <w:p w14:paraId="3F262DC0" w14:textId="617E0717" w:rsidR="00456ACA" w:rsidRPr="00235E1F" w:rsidRDefault="00456ACA" w:rsidP="008E5EB9">
      <w:pPr>
        <w:adjustRightInd w:val="0"/>
        <w:ind w:firstLineChars="100" w:firstLine="241"/>
        <w:rPr>
          <w:rFonts w:hAnsi="ＭＳ 明朝"/>
          <w:b w:val="0"/>
          <w:szCs w:val="24"/>
        </w:rPr>
      </w:pPr>
      <w:r w:rsidRPr="00235E1F">
        <w:rPr>
          <w:rFonts w:hAnsi="ＭＳ 明朝" w:hint="eastAsia"/>
          <w:szCs w:val="24"/>
        </w:rPr>
        <w:t>⑴　建築工事における利用の推進</w:t>
      </w:r>
    </w:p>
    <w:p w14:paraId="36B5FA2A" w14:textId="7F3F737C" w:rsidR="00456ACA" w:rsidRPr="00235E1F" w:rsidRDefault="00456ACA" w:rsidP="008E5EB9">
      <w:pPr>
        <w:adjustRightInd w:val="0"/>
        <w:ind w:leftChars="200" w:left="482" w:firstLineChars="100" w:firstLine="241"/>
        <w:rPr>
          <w:rFonts w:hAnsi="ＭＳ 明朝"/>
          <w:szCs w:val="24"/>
        </w:rPr>
      </w:pPr>
      <w:r w:rsidRPr="00235E1F">
        <w:rPr>
          <w:rFonts w:hAnsi="ＭＳ 明朝" w:hint="eastAsia"/>
          <w:szCs w:val="24"/>
        </w:rPr>
        <w:t>建築工事のうち、市が整備する公共施設の建築にあたっては、法的規制、建築物の</w:t>
      </w:r>
      <w:r w:rsidR="008E5EB9" w:rsidRPr="00235E1F">
        <w:rPr>
          <w:rFonts w:hAnsi="ＭＳ 明朝" w:hint="eastAsia"/>
          <w:szCs w:val="24"/>
        </w:rPr>
        <w:t xml:space="preserve">　</w:t>
      </w:r>
      <w:r w:rsidRPr="00235E1F">
        <w:rPr>
          <w:rFonts w:hAnsi="ＭＳ 明朝" w:hint="eastAsia"/>
          <w:szCs w:val="24"/>
        </w:rPr>
        <w:t>特徴、用途、維持管理方法等を考慮した上で、低層の建築物は、原則として木造化を図るものとする。</w:t>
      </w:r>
    </w:p>
    <w:p w14:paraId="7E4AE7CF" w14:textId="77777777" w:rsidR="00456ACA" w:rsidRPr="00235E1F" w:rsidRDefault="00456ACA" w:rsidP="008E5EB9">
      <w:pPr>
        <w:adjustRightInd w:val="0"/>
        <w:ind w:left="482" w:hangingChars="200" w:hanging="482"/>
        <w:rPr>
          <w:rFonts w:hAnsi="ＭＳ 明朝"/>
          <w:szCs w:val="24"/>
        </w:rPr>
      </w:pPr>
      <w:r w:rsidRPr="00235E1F">
        <w:rPr>
          <w:rFonts w:hAnsi="ＭＳ 明朝" w:hint="eastAsia"/>
          <w:szCs w:val="24"/>
        </w:rPr>
        <w:t xml:space="preserve">　　　また、木造化を図ることが困難であると判断されるものや、改修を行う施設においては、市民の目に触れる部分を中心に積極的に内装木質化を図るものとする。</w:t>
      </w:r>
    </w:p>
    <w:p w14:paraId="1AABE624" w14:textId="77777777" w:rsidR="00456ACA" w:rsidRPr="00235E1F" w:rsidRDefault="00456ACA" w:rsidP="008E5EB9">
      <w:pPr>
        <w:adjustRightInd w:val="0"/>
        <w:rPr>
          <w:rFonts w:hAnsi="ＭＳ 明朝"/>
          <w:b w:val="0"/>
          <w:szCs w:val="24"/>
        </w:rPr>
      </w:pPr>
      <w:r w:rsidRPr="00235E1F">
        <w:rPr>
          <w:rFonts w:hAnsi="ＭＳ 明朝" w:hint="eastAsia"/>
          <w:szCs w:val="24"/>
        </w:rPr>
        <w:t xml:space="preserve">　⑵　まちづくりにおける利用の促進</w:t>
      </w:r>
    </w:p>
    <w:p w14:paraId="4FA8A2F5" w14:textId="77777777" w:rsidR="00456ACA" w:rsidRPr="00235E1F" w:rsidRDefault="00456ACA" w:rsidP="008E5EB9">
      <w:pPr>
        <w:adjustRightInd w:val="0"/>
        <w:ind w:left="482" w:hangingChars="200" w:hanging="482"/>
        <w:rPr>
          <w:rFonts w:hAnsi="ＭＳ 明朝"/>
          <w:szCs w:val="24"/>
        </w:rPr>
      </w:pPr>
      <w:r w:rsidRPr="00235E1F">
        <w:rPr>
          <w:rFonts w:hAnsi="ＭＳ 明朝" w:hint="eastAsia"/>
          <w:szCs w:val="24"/>
        </w:rPr>
        <w:t xml:space="preserve">　　　公園、文化施設周辺等、多数の市民に親しまれるとともに、周辺環境と調和が求められる施設など、木材利用のＰＲ効果の特に高いものの整備にあたっては、積極的に地元産木材を利用するものとする。</w:t>
      </w:r>
    </w:p>
    <w:p w14:paraId="13806D78" w14:textId="77777777" w:rsidR="00456ACA" w:rsidRPr="00235E1F" w:rsidRDefault="00456ACA" w:rsidP="008E5EB9">
      <w:pPr>
        <w:adjustRightInd w:val="0"/>
        <w:rPr>
          <w:rFonts w:hAnsi="ＭＳ 明朝"/>
          <w:b w:val="0"/>
          <w:szCs w:val="24"/>
        </w:rPr>
      </w:pPr>
      <w:r w:rsidRPr="00235E1F">
        <w:rPr>
          <w:rFonts w:hAnsi="ＭＳ 明朝" w:hint="eastAsia"/>
          <w:szCs w:val="24"/>
        </w:rPr>
        <w:t xml:space="preserve">　⑶　備品等における利用の促進</w:t>
      </w:r>
    </w:p>
    <w:p w14:paraId="40F44D9D" w14:textId="77777777" w:rsidR="00456ACA" w:rsidRPr="00235E1F" w:rsidRDefault="00456ACA" w:rsidP="008E5EB9">
      <w:pPr>
        <w:adjustRightInd w:val="0"/>
        <w:ind w:left="482" w:hangingChars="200" w:hanging="482"/>
        <w:rPr>
          <w:rFonts w:hAnsi="ＭＳ 明朝"/>
          <w:szCs w:val="24"/>
        </w:rPr>
      </w:pPr>
      <w:r w:rsidRPr="00235E1F">
        <w:rPr>
          <w:rFonts w:hAnsi="ＭＳ 明朝" w:hint="eastAsia"/>
          <w:szCs w:val="24"/>
        </w:rPr>
        <w:t xml:space="preserve">　　　地元産材を原材料に使用した児童・生徒の机、椅子の備品等を積極的に導入するものとする。</w:t>
      </w:r>
    </w:p>
    <w:p w14:paraId="775262A3" w14:textId="77777777" w:rsidR="00456ACA" w:rsidRPr="00235E1F" w:rsidRDefault="00456ACA" w:rsidP="008E5EB9">
      <w:pPr>
        <w:adjustRightInd w:val="0"/>
        <w:rPr>
          <w:rFonts w:hAnsi="ＭＳ 明朝"/>
          <w:b w:val="0"/>
          <w:szCs w:val="24"/>
        </w:rPr>
      </w:pPr>
      <w:r w:rsidRPr="00235E1F">
        <w:rPr>
          <w:rFonts w:hAnsi="ＭＳ 明朝" w:hint="eastAsia"/>
          <w:szCs w:val="24"/>
        </w:rPr>
        <w:t xml:space="preserve">　⑷　木質バイオマスの利用促進</w:t>
      </w:r>
    </w:p>
    <w:p w14:paraId="2E9F08EB" w14:textId="77777777" w:rsidR="00456ACA" w:rsidRPr="00235E1F" w:rsidRDefault="00456ACA" w:rsidP="008E5EB9">
      <w:pPr>
        <w:adjustRightInd w:val="0"/>
        <w:rPr>
          <w:rFonts w:hAnsi="ＭＳ 明朝"/>
          <w:szCs w:val="24"/>
        </w:rPr>
      </w:pPr>
      <w:r w:rsidRPr="00235E1F">
        <w:rPr>
          <w:rFonts w:hAnsi="ＭＳ 明朝" w:hint="eastAsia"/>
          <w:szCs w:val="24"/>
        </w:rPr>
        <w:t xml:space="preserve">　　　木質バイオマスを燃料とする暖房器具やボイラーを積極的に導入するものとする。</w:t>
      </w:r>
    </w:p>
    <w:p w14:paraId="2625E309" w14:textId="77777777" w:rsidR="00456ACA" w:rsidRPr="00235E1F" w:rsidRDefault="00456ACA" w:rsidP="008E5EB9">
      <w:pPr>
        <w:adjustRightInd w:val="0"/>
        <w:rPr>
          <w:rFonts w:hAnsi="ＭＳ 明朝"/>
          <w:b w:val="0"/>
          <w:szCs w:val="24"/>
        </w:rPr>
      </w:pPr>
      <w:r w:rsidRPr="00235E1F">
        <w:rPr>
          <w:rFonts w:hAnsi="ＭＳ 明朝" w:hint="eastAsia"/>
          <w:szCs w:val="24"/>
        </w:rPr>
        <w:t xml:space="preserve">　⑸　土木工事における利用の推進</w:t>
      </w:r>
    </w:p>
    <w:p w14:paraId="4E81A6A3" w14:textId="6F959E70" w:rsidR="00456ACA" w:rsidRPr="00235E1F" w:rsidRDefault="00456ACA" w:rsidP="00235E1F">
      <w:pPr>
        <w:adjustRightInd w:val="0"/>
        <w:ind w:left="482" w:hangingChars="200" w:hanging="482"/>
        <w:rPr>
          <w:rFonts w:hAnsi="ＭＳ 明朝"/>
          <w:szCs w:val="24"/>
        </w:rPr>
      </w:pPr>
      <w:r w:rsidRPr="00235E1F">
        <w:rPr>
          <w:rFonts w:hAnsi="ＭＳ 明朝" w:hint="eastAsia"/>
          <w:szCs w:val="24"/>
        </w:rPr>
        <w:t xml:space="preserve">　　　土木工事にあたっては、強度、耐久性、維持管理等を考慮したうえで、積極的に地元産木材を利用するものとする。</w:t>
      </w:r>
    </w:p>
    <w:p w14:paraId="5EE28DA2" w14:textId="1D367DB9" w:rsidR="00456ACA" w:rsidRPr="00235E1F" w:rsidRDefault="00456ACA" w:rsidP="008E5EB9">
      <w:pPr>
        <w:adjustRightInd w:val="0"/>
        <w:rPr>
          <w:rFonts w:hAnsi="ＭＳ 明朝"/>
          <w:b w:val="0"/>
          <w:szCs w:val="24"/>
        </w:rPr>
      </w:pPr>
      <w:r w:rsidRPr="00235E1F">
        <w:rPr>
          <w:rFonts w:hAnsi="ＭＳ 明朝" w:hint="eastAsia"/>
          <w:szCs w:val="24"/>
        </w:rPr>
        <w:t xml:space="preserve">第4　利用促進のための環境整備　</w:t>
      </w:r>
    </w:p>
    <w:p w14:paraId="34607890" w14:textId="7559052F" w:rsidR="00456ACA" w:rsidRPr="00235E1F" w:rsidRDefault="00456ACA" w:rsidP="008E5EB9">
      <w:pPr>
        <w:adjustRightInd w:val="0"/>
        <w:ind w:leftChars="100" w:left="241" w:firstLineChars="100" w:firstLine="241"/>
        <w:rPr>
          <w:rFonts w:hAnsi="ＭＳ 明朝"/>
          <w:szCs w:val="24"/>
        </w:rPr>
      </w:pPr>
      <w:r w:rsidRPr="00235E1F">
        <w:rPr>
          <w:rFonts w:hAnsi="ＭＳ 明朝" w:hint="eastAsia"/>
          <w:szCs w:val="24"/>
        </w:rPr>
        <w:t>市は、木材関係者と連携し、建築物等の利用に適した木材の供給体制を整備し、地元産木材を利用しやすい環境を整えるものとする。</w:t>
      </w:r>
    </w:p>
    <w:p w14:paraId="711410CC" w14:textId="5A0AAA9E" w:rsidR="00456ACA" w:rsidRPr="00235E1F" w:rsidRDefault="00456ACA" w:rsidP="008E5EB9">
      <w:pPr>
        <w:adjustRightInd w:val="0"/>
        <w:rPr>
          <w:rFonts w:hAnsi="ＭＳ 明朝"/>
          <w:b w:val="0"/>
          <w:szCs w:val="24"/>
        </w:rPr>
      </w:pPr>
      <w:r w:rsidRPr="00235E1F">
        <w:rPr>
          <w:rFonts w:hAnsi="ＭＳ 明朝" w:hint="eastAsia"/>
          <w:szCs w:val="24"/>
        </w:rPr>
        <w:lastRenderedPageBreak/>
        <w:t>第5　その他</w:t>
      </w:r>
    </w:p>
    <w:p w14:paraId="29D557AC" w14:textId="23F892DD" w:rsidR="00456ACA" w:rsidRPr="00235E1F" w:rsidRDefault="00015379" w:rsidP="008E5EB9">
      <w:pPr>
        <w:adjustRightInd w:val="0"/>
        <w:ind w:firstLineChars="200" w:firstLine="482"/>
        <w:rPr>
          <w:rFonts w:hAnsi="ＭＳ 明朝"/>
          <w:szCs w:val="24"/>
        </w:rPr>
      </w:pPr>
      <w:r w:rsidRPr="00015379">
        <w:rPr>
          <w:rFonts w:hAnsi="ＭＳ 明朝" w:hint="eastAsia"/>
          <w:szCs w:val="24"/>
        </w:rPr>
        <w:t>この方針に定めるもののほか必要な事項は別に定める。</w:t>
      </w:r>
    </w:p>
    <w:p w14:paraId="78913B2C" w14:textId="77777777" w:rsidR="00456ACA" w:rsidRPr="00235E1F" w:rsidRDefault="00456ACA" w:rsidP="008E5EB9">
      <w:pPr>
        <w:adjustRightInd w:val="0"/>
        <w:rPr>
          <w:rFonts w:hAnsi="ＭＳ 明朝"/>
          <w:szCs w:val="24"/>
        </w:rPr>
      </w:pPr>
    </w:p>
    <w:p w14:paraId="152D1DCF" w14:textId="77777777" w:rsidR="008E5EB9" w:rsidRPr="00235E1F" w:rsidRDefault="008E5EB9" w:rsidP="008E5EB9">
      <w:pPr>
        <w:ind w:firstLineChars="200" w:firstLine="482"/>
        <w:rPr>
          <w:rFonts w:hAnsi="ＭＳ 明朝"/>
          <w:szCs w:val="24"/>
        </w:rPr>
      </w:pPr>
      <w:r w:rsidRPr="00235E1F">
        <w:rPr>
          <w:rFonts w:hAnsi="ＭＳ 明朝" w:hint="eastAsia"/>
          <w:szCs w:val="24"/>
        </w:rPr>
        <w:t>附　則</w:t>
      </w:r>
    </w:p>
    <w:p w14:paraId="674EC23E" w14:textId="2442C142" w:rsidR="008E5EB9" w:rsidRPr="00235E1F" w:rsidRDefault="008E5EB9" w:rsidP="008E5EB9">
      <w:pPr>
        <w:ind w:firstLineChars="100" w:firstLine="241"/>
        <w:rPr>
          <w:rFonts w:hAnsi="ＭＳ 明朝"/>
          <w:szCs w:val="24"/>
        </w:rPr>
      </w:pPr>
      <w:r w:rsidRPr="00235E1F">
        <w:rPr>
          <w:rFonts w:hAnsi="ＭＳ 明朝" w:hint="eastAsia"/>
          <w:szCs w:val="24"/>
        </w:rPr>
        <w:t>この方針は平成</w:t>
      </w:r>
      <w:r w:rsidR="000A4190" w:rsidRPr="00235E1F">
        <w:rPr>
          <w:rFonts w:hAnsi="ＭＳ 明朝" w:hint="eastAsia"/>
          <w:szCs w:val="24"/>
        </w:rPr>
        <w:t>24</w:t>
      </w:r>
      <w:r w:rsidRPr="00235E1F">
        <w:rPr>
          <w:rFonts w:hAnsi="ＭＳ 明朝" w:hint="eastAsia"/>
          <w:szCs w:val="24"/>
        </w:rPr>
        <w:t>年</w:t>
      </w:r>
      <w:r w:rsidR="000A4190" w:rsidRPr="00235E1F">
        <w:rPr>
          <w:rFonts w:hAnsi="ＭＳ 明朝" w:hint="eastAsia"/>
          <w:szCs w:val="24"/>
        </w:rPr>
        <w:t>10</w:t>
      </w:r>
      <w:r w:rsidRPr="00235E1F">
        <w:rPr>
          <w:rFonts w:hAnsi="ＭＳ 明朝" w:hint="eastAsia"/>
          <w:szCs w:val="24"/>
        </w:rPr>
        <w:t>月</w:t>
      </w:r>
      <w:r w:rsidR="000A4190" w:rsidRPr="00235E1F">
        <w:rPr>
          <w:rFonts w:hAnsi="ＭＳ 明朝" w:hint="eastAsia"/>
          <w:szCs w:val="24"/>
        </w:rPr>
        <w:t>1</w:t>
      </w:r>
      <w:r w:rsidRPr="00235E1F">
        <w:rPr>
          <w:rFonts w:hAnsi="ＭＳ 明朝" w:hint="eastAsia"/>
          <w:szCs w:val="24"/>
        </w:rPr>
        <w:t>日より適用する。</w:t>
      </w:r>
    </w:p>
    <w:p w14:paraId="2C150B71" w14:textId="77777777" w:rsidR="008E5EB9" w:rsidRPr="00235E1F" w:rsidRDefault="008E5EB9" w:rsidP="008E5EB9">
      <w:pPr>
        <w:ind w:firstLineChars="200" w:firstLine="482"/>
        <w:rPr>
          <w:rFonts w:hAnsi="ＭＳ 明朝"/>
          <w:szCs w:val="24"/>
        </w:rPr>
      </w:pPr>
      <w:r w:rsidRPr="00235E1F">
        <w:rPr>
          <w:rFonts w:hAnsi="ＭＳ 明朝" w:hint="eastAsia"/>
          <w:szCs w:val="24"/>
        </w:rPr>
        <w:t>附　則</w:t>
      </w:r>
    </w:p>
    <w:p w14:paraId="3C1020CA" w14:textId="0C38BA61" w:rsidR="008E5EB9" w:rsidRPr="00235E1F" w:rsidRDefault="008E5EB9" w:rsidP="008E5EB9">
      <w:pPr>
        <w:adjustRightInd w:val="0"/>
        <w:ind w:firstLineChars="100" w:firstLine="241"/>
        <w:rPr>
          <w:rFonts w:hAnsi="ＭＳ 明朝"/>
          <w:szCs w:val="24"/>
        </w:rPr>
      </w:pPr>
      <w:r w:rsidRPr="00235E1F">
        <w:rPr>
          <w:rFonts w:hAnsi="ＭＳ 明朝" w:hint="eastAsia"/>
          <w:szCs w:val="24"/>
        </w:rPr>
        <w:t>この方針は</w:t>
      </w:r>
      <w:r w:rsidR="000A4190" w:rsidRPr="00235E1F">
        <w:rPr>
          <w:rFonts w:hAnsi="ＭＳ 明朝" w:hint="eastAsia"/>
          <w:szCs w:val="24"/>
        </w:rPr>
        <w:t>令和5</w:t>
      </w:r>
      <w:r w:rsidRPr="00235E1F">
        <w:rPr>
          <w:rFonts w:hAnsi="ＭＳ 明朝" w:hint="eastAsia"/>
          <w:szCs w:val="24"/>
        </w:rPr>
        <w:t>年</w:t>
      </w:r>
      <w:r w:rsidR="0024230E">
        <w:rPr>
          <w:rFonts w:hAnsi="ＭＳ 明朝" w:hint="eastAsia"/>
          <w:szCs w:val="24"/>
        </w:rPr>
        <w:t>9</w:t>
      </w:r>
      <w:r w:rsidRPr="00235E1F">
        <w:rPr>
          <w:rFonts w:hAnsi="ＭＳ 明朝" w:hint="eastAsia"/>
          <w:szCs w:val="24"/>
        </w:rPr>
        <w:t>月</w:t>
      </w:r>
      <w:r w:rsidR="0024230E">
        <w:rPr>
          <w:rFonts w:hAnsi="ＭＳ 明朝" w:hint="eastAsia"/>
          <w:szCs w:val="24"/>
        </w:rPr>
        <w:t>1</w:t>
      </w:r>
      <w:r w:rsidRPr="00235E1F">
        <w:rPr>
          <w:rFonts w:hAnsi="ＭＳ 明朝" w:hint="eastAsia"/>
          <w:szCs w:val="24"/>
        </w:rPr>
        <w:t>日より適用する。</w:t>
      </w:r>
    </w:p>
    <w:sectPr w:rsidR="008E5EB9" w:rsidRPr="00235E1F" w:rsidSect="004C3399">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7D36D" w14:textId="77777777" w:rsidR="00456ACA" w:rsidRDefault="00456ACA" w:rsidP="00456ACA">
      <w:r>
        <w:separator/>
      </w:r>
    </w:p>
  </w:endnote>
  <w:endnote w:type="continuationSeparator" w:id="0">
    <w:p w14:paraId="1C5276FF" w14:textId="77777777" w:rsidR="00456ACA" w:rsidRDefault="00456ACA" w:rsidP="0045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1E3EC" w14:textId="77777777" w:rsidR="00456ACA" w:rsidRDefault="00456ACA" w:rsidP="00456ACA">
      <w:r>
        <w:separator/>
      </w:r>
    </w:p>
  </w:footnote>
  <w:footnote w:type="continuationSeparator" w:id="0">
    <w:p w14:paraId="61E33918" w14:textId="77777777" w:rsidR="00456ACA" w:rsidRDefault="00456ACA" w:rsidP="0045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19"/>
    <w:rsid w:val="00015379"/>
    <w:rsid w:val="000A4190"/>
    <w:rsid w:val="000F420B"/>
    <w:rsid w:val="00235E1F"/>
    <w:rsid w:val="0024230E"/>
    <w:rsid w:val="00456ACA"/>
    <w:rsid w:val="004C3399"/>
    <w:rsid w:val="00574288"/>
    <w:rsid w:val="00575923"/>
    <w:rsid w:val="006B1569"/>
    <w:rsid w:val="006B3859"/>
    <w:rsid w:val="008E5EB9"/>
    <w:rsid w:val="00E66310"/>
    <w:rsid w:val="00EF52FC"/>
    <w:rsid w:val="00F06B19"/>
    <w:rsid w:val="00F8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C775C"/>
  <w15:chartTrackingRefBased/>
  <w15:docId w15:val="{9B43D6B2-840E-49B6-AC79-334A873D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EB9"/>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ACA"/>
    <w:pPr>
      <w:widowControl/>
      <w:tabs>
        <w:tab w:val="center" w:pos="4252"/>
        <w:tab w:val="right" w:pos="8504"/>
      </w:tabs>
      <w:snapToGrid w:val="0"/>
      <w:jc w:val="left"/>
    </w:pPr>
    <w:rPr>
      <w:rFonts w:asciiTheme="minorHAnsi" w:eastAsiaTheme="minorEastAsia"/>
      <w:b w:val="0"/>
      <w:sz w:val="21"/>
    </w:rPr>
  </w:style>
  <w:style w:type="character" w:customStyle="1" w:styleId="a4">
    <w:name w:val="ヘッダー (文字)"/>
    <w:basedOn w:val="a0"/>
    <w:link w:val="a3"/>
    <w:uiPriority w:val="99"/>
    <w:rsid w:val="00456ACA"/>
  </w:style>
  <w:style w:type="paragraph" w:styleId="a5">
    <w:name w:val="footer"/>
    <w:basedOn w:val="a"/>
    <w:link w:val="a6"/>
    <w:uiPriority w:val="99"/>
    <w:unhideWhenUsed/>
    <w:rsid w:val="00456ACA"/>
    <w:pPr>
      <w:widowControl/>
      <w:tabs>
        <w:tab w:val="center" w:pos="4252"/>
        <w:tab w:val="right" w:pos="8504"/>
      </w:tabs>
      <w:snapToGrid w:val="0"/>
      <w:jc w:val="left"/>
    </w:pPr>
    <w:rPr>
      <w:rFonts w:asciiTheme="minorHAnsi" w:eastAsiaTheme="minorEastAsia"/>
      <w:b w:val="0"/>
      <w:sz w:val="21"/>
    </w:rPr>
  </w:style>
  <w:style w:type="character" w:customStyle="1" w:styleId="a6">
    <w:name w:val="フッター (文字)"/>
    <w:basedOn w:val="a0"/>
    <w:link w:val="a5"/>
    <w:uiPriority w:val="99"/>
    <w:rsid w:val="0045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染谷　裕治</dc:creator>
  <cp:keywords/>
  <dc:description/>
  <cp:lastModifiedBy>染谷　裕治</cp:lastModifiedBy>
  <cp:revision>2</cp:revision>
  <cp:lastPrinted>2023-08-17T07:58:00Z</cp:lastPrinted>
  <dcterms:created xsi:type="dcterms:W3CDTF">2023-09-05T00:47:00Z</dcterms:created>
  <dcterms:modified xsi:type="dcterms:W3CDTF">2023-09-05T00:47:00Z</dcterms:modified>
</cp:coreProperties>
</file>